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13D9" w14:textId="4575520E" w:rsidR="00BB7922" w:rsidRPr="00BB7922" w:rsidRDefault="00BB7922" w:rsidP="00BB7922">
      <w:pPr>
        <w:pStyle w:val="Heading1"/>
        <w:rPr>
          <w:rFonts w:ascii="Aptos" w:hAnsi="Aptos"/>
          <w:b/>
          <w:bCs/>
          <w:color w:val="552C8E"/>
          <w:sz w:val="28"/>
          <w:szCs w:val="28"/>
        </w:rPr>
      </w:pPr>
      <w:bookmarkStart w:id="0" w:name="_Toc111202797"/>
      <w:bookmarkStart w:id="1" w:name="_Toc207356518"/>
      <w:r w:rsidRPr="00BB7922">
        <w:rPr>
          <w:rFonts w:ascii="Aptos" w:hAnsi="Aptos"/>
          <w:b/>
          <w:bCs/>
          <w:color w:val="552C8E"/>
          <w:sz w:val="28"/>
          <w:szCs w:val="28"/>
        </w:rPr>
        <w:t xml:space="preserve">Centrally provided support </w:t>
      </w:r>
      <w:bookmarkEnd w:id="0"/>
      <w:r w:rsidRPr="00BB7922">
        <w:rPr>
          <w:rFonts w:ascii="Aptos" w:hAnsi="Aptos"/>
          <w:b/>
          <w:bCs/>
          <w:color w:val="552C8E"/>
          <w:sz w:val="28"/>
          <w:szCs w:val="28"/>
        </w:rPr>
        <w:t>2025-26</w:t>
      </w:r>
      <w:bookmarkEnd w:id="1"/>
    </w:p>
    <w:p w14:paraId="2AA327B4" w14:textId="77777777" w:rsidR="00BB7922" w:rsidRPr="007D416D" w:rsidRDefault="00BB7922" w:rsidP="00BB7922">
      <w:pPr>
        <w:pStyle w:val="NormalWeb"/>
        <w:shd w:val="clear" w:color="auto" w:fill="FFFFFF"/>
        <w:spacing w:before="0" w:beforeAutospacing="0" w:after="0" w:afterAutospacing="0"/>
        <w:jc w:val="both"/>
        <w:rPr>
          <w:rFonts w:ascii="Aptos" w:hAnsi="Aptos" w:cs="Arial"/>
          <w:b/>
        </w:rPr>
      </w:pPr>
    </w:p>
    <w:p w14:paraId="5036DCE3" w14:textId="77777777" w:rsidR="00BB7922" w:rsidRPr="007D416D" w:rsidRDefault="00BB7922" w:rsidP="00BB7922">
      <w:pPr>
        <w:pStyle w:val="NormalWeb"/>
        <w:shd w:val="clear" w:color="auto" w:fill="FFFFFF"/>
        <w:spacing w:before="0" w:beforeAutospacing="0" w:after="0" w:afterAutospacing="0"/>
        <w:rPr>
          <w:rFonts w:ascii="Aptos" w:hAnsi="Aptos" w:cs="Arial"/>
          <w:b/>
        </w:rPr>
      </w:pPr>
      <w:r w:rsidRPr="007D416D">
        <w:rPr>
          <w:rFonts w:ascii="Aptos" w:hAnsi="Aptos" w:cs="Arial"/>
          <w:b/>
        </w:rPr>
        <w:t>The vision and ethos of the Trust</w:t>
      </w:r>
    </w:p>
    <w:p w14:paraId="63C4C8A7" w14:textId="77777777" w:rsidR="00BB7922" w:rsidRPr="007D416D" w:rsidRDefault="00BB7922" w:rsidP="00BB7922">
      <w:pPr>
        <w:pStyle w:val="NormalWeb"/>
        <w:shd w:val="clear" w:color="auto" w:fill="FFFFFF"/>
        <w:spacing w:before="0" w:beforeAutospacing="0"/>
        <w:jc w:val="both"/>
        <w:rPr>
          <w:rFonts w:ascii="Aptos" w:hAnsi="Aptos" w:cs="Arial"/>
        </w:rPr>
      </w:pPr>
      <w:r w:rsidRPr="007D416D">
        <w:rPr>
          <w:rFonts w:ascii="Aptos" w:hAnsi="Aptos" w:cs="Arial"/>
        </w:rPr>
        <w:t>The vision of the Diocese of Gloucester Academies Trust (DGAT) is to provide children of all faiths and none, with excellent educational provision which transforms lives within a caring and supportive Christian ethos. Our decision making and the central services we offer are focussed on the needs of each school, ensuring that children get the best primary school experience that we can offer. This means that we use our financial resources as effectively as we can to support teaching and learning and we invest in our staff to enable them to be the best they can be.</w:t>
      </w:r>
    </w:p>
    <w:p w14:paraId="0F52A6DB" w14:textId="77777777" w:rsidR="00BB7922" w:rsidRPr="007D416D" w:rsidRDefault="00BB7922" w:rsidP="00BB7922">
      <w:pPr>
        <w:pStyle w:val="NormalWeb"/>
        <w:shd w:val="clear" w:color="auto" w:fill="FFFFFF"/>
        <w:spacing w:before="0" w:beforeAutospacing="0" w:after="0" w:afterAutospacing="0"/>
        <w:jc w:val="both"/>
        <w:rPr>
          <w:rFonts w:ascii="Aptos" w:hAnsi="Aptos" w:cs="Arial"/>
        </w:rPr>
      </w:pPr>
      <w:r w:rsidRPr="007D416D">
        <w:rPr>
          <w:rFonts w:ascii="Aptos" w:hAnsi="Aptos" w:cs="Arial"/>
        </w:rPr>
        <w:t>Working collaboratively to sustain and develop excellent educational provision is at the heart of the Trust’s ethos</w:t>
      </w:r>
      <w:r w:rsidRPr="007D416D">
        <w:rPr>
          <w:rFonts w:ascii="Aptos" w:hAnsi="Aptos" w:cs="Arial"/>
          <w:noProof/>
        </w:rPr>
        <w:t>. It is an expectation that all</w:t>
      </w:r>
      <w:r>
        <w:rPr>
          <w:rFonts w:ascii="Aptos" w:hAnsi="Aptos" w:cs="Arial"/>
          <w:noProof/>
        </w:rPr>
        <w:t xml:space="preserve"> Trust</w:t>
      </w:r>
      <w:r w:rsidRPr="007D416D">
        <w:rPr>
          <w:rFonts w:ascii="Aptos" w:hAnsi="Aptos" w:cs="Arial"/>
          <w:noProof/>
        </w:rPr>
        <w:t xml:space="preserve"> schools will play an active role in sharing best practice and learning from one-another, as well as being outward facing, engaging with the wider local and national educational agenda.  </w:t>
      </w:r>
    </w:p>
    <w:p w14:paraId="70D7E085" w14:textId="77777777" w:rsidR="00BB7922" w:rsidRPr="007D416D" w:rsidRDefault="00BB7922" w:rsidP="00BB7922">
      <w:pPr>
        <w:pStyle w:val="NormalWeb"/>
        <w:shd w:val="clear" w:color="auto" w:fill="FFFFFF"/>
        <w:spacing w:before="0" w:beforeAutospacing="0" w:after="0" w:afterAutospacing="0"/>
        <w:jc w:val="both"/>
        <w:rPr>
          <w:rFonts w:ascii="Aptos" w:hAnsi="Aptos" w:cs="Arial"/>
        </w:rPr>
      </w:pPr>
    </w:p>
    <w:p w14:paraId="24CD3AAA" w14:textId="77777777" w:rsidR="00BB7922" w:rsidRPr="007D416D" w:rsidRDefault="00BB7922" w:rsidP="00BB7922">
      <w:pPr>
        <w:pStyle w:val="NormalWeb"/>
        <w:shd w:val="clear" w:color="auto" w:fill="FFFFFF"/>
        <w:spacing w:before="0" w:beforeAutospacing="0" w:after="0" w:afterAutospacing="0"/>
        <w:jc w:val="both"/>
        <w:rPr>
          <w:rFonts w:ascii="Aptos" w:hAnsi="Aptos" w:cs="Arial"/>
          <w:b/>
          <w:bCs/>
        </w:rPr>
      </w:pPr>
      <w:r w:rsidRPr="007D416D">
        <w:rPr>
          <w:rFonts w:ascii="Aptos" w:hAnsi="Aptos" w:cs="Arial"/>
          <w:b/>
          <w:bCs/>
        </w:rPr>
        <w:t>Quality of service</w:t>
      </w:r>
    </w:p>
    <w:p w14:paraId="70505868" w14:textId="77777777" w:rsidR="00BB7922" w:rsidRPr="007D416D" w:rsidRDefault="00BB7922" w:rsidP="00BB7922">
      <w:pPr>
        <w:pStyle w:val="NormalWeb"/>
        <w:shd w:val="clear" w:color="auto" w:fill="FFFFFF"/>
        <w:spacing w:before="0" w:beforeAutospacing="0"/>
        <w:jc w:val="both"/>
        <w:rPr>
          <w:rFonts w:ascii="Aptos" w:hAnsi="Aptos" w:cs="Arial"/>
        </w:rPr>
      </w:pPr>
      <w:r w:rsidRPr="007D416D">
        <w:rPr>
          <w:rFonts w:ascii="Aptos" w:hAnsi="Aptos" w:cs="Arial"/>
        </w:rPr>
        <w:t xml:space="preserve">Christian service sits at the heart of all we do. We value all our schools equally and will demonstrate this through the quality of service we provide. There is a direct contact number for each of our central team members and we aim to provide a response to emails and telephone messages within working days. It will often be much quicker than this and will be immediate in an emergency. Where your query will take longer than this to resolve, we will give you a clear indication of timescales. </w:t>
      </w:r>
    </w:p>
    <w:p w14:paraId="555C8704" w14:textId="77777777" w:rsidR="00BB7922" w:rsidRPr="007D416D" w:rsidRDefault="00BB7922" w:rsidP="00BB7922">
      <w:pPr>
        <w:pStyle w:val="NormalWeb"/>
        <w:shd w:val="clear" w:color="auto" w:fill="FFFFFF"/>
        <w:spacing w:before="0" w:beforeAutospacing="0"/>
        <w:jc w:val="both"/>
        <w:rPr>
          <w:rFonts w:ascii="Aptos" w:hAnsi="Aptos" w:cs="Arial"/>
        </w:rPr>
      </w:pPr>
      <w:r w:rsidRPr="007D416D">
        <w:rPr>
          <w:rFonts w:ascii="Aptos" w:hAnsi="Aptos" w:cs="Arial"/>
        </w:rPr>
        <w:t xml:space="preserve">As a learning organisation we strive to ensure our services are the best they can be, and we will seek your views to improve further. </w:t>
      </w:r>
    </w:p>
    <w:p w14:paraId="59B47A65" w14:textId="77777777" w:rsidR="00BB7922" w:rsidRPr="007D416D" w:rsidRDefault="00BB7922" w:rsidP="00BB7922">
      <w:pPr>
        <w:jc w:val="both"/>
        <w:rPr>
          <w:rFonts w:ascii="Aptos" w:hAnsi="Aptos"/>
          <w:b/>
        </w:rPr>
      </w:pPr>
      <w:r w:rsidRPr="007D416D">
        <w:rPr>
          <w:rFonts w:ascii="Aptos" w:hAnsi="Aptos"/>
          <w:b/>
        </w:rPr>
        <w:t>The offer:</w:t>
      </w:r>
    </w:p>
    <w:p w14:paraId="7BC85BA4" w14:textId="77777777" w:rsidR="00BB7922" w:rsidRPr="007D416D" w:rsidRDefault="00BB7922" w:rsidP="00BB7922">
      <w:pPr>
        <w:spacing w:after="120"/>
        <w:jc w:val="both"/>
        <w:rPr>
          <w:rFonts w:ascii="Aptos" w:hAnsi="Aptos"/>
        </w:rPr>
      </w:pPr>
      <w:r w:rsidRPr="007D416D">
        <w:rPr>
          <w:rFonts w:ascii="Aptos" w:hAnsi="Aptos"/>
        </w:rPr>
        <w:t xml:space="preserve">The Trust provides a wide range of support to its family of academies. This falls broadly into six categories: </w:t>
      </w:r>
    </w:p>
    <w:p w14:paraId="50709272" w14:textId="77777777" w:rsidR="00BB7922" w:rsidRPr="007D416D" w:rsidRDefault="00BB7922" w:rsidP="00BB7922">
      <w:pPr>
        <w:pStyle w:val="ListParagraph"/>
        <w:numPr>
          <w:ilvl w:val="0"/>
          <w:numId w:val="1"/>
        </w:numPr>
        <w:spacing w:after="120"/>
        <w:jc w:val="both"/>
        <w:rPr>
          <w:rFonts w:ascii="Aptos" w:hAnsi="Aptos"/>
        </w:rPr>
      </w:pPr>
      <w:r w:rsidRPr="007D416D">
        <w:rPr>
          <w:rFonts w:ascii="Aptos" w:hAnsi="Aptos"/>
        </w:rPr>
        <w:t>School Effectiveness</w:t>
      </w:r>
    </w:p>
    <w:p w14:paraId="09AF009A"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A wide range of high quality continuous and professional development and learning (CPDL) events</w:t>
      </w:r>
    </w:p>
    <w:p w14:paraId="19B6B79D"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Frequent visits from the school effectiveness team to work with the Headteacher and leaders on school priorities and providing support, challenge, coaching and mentoring. This support can vary depending on the agreed self-evaluation of the school.</w:t>
      </w:r>
    </w:p>
    <w:p w14:paraId="11AEC732"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Joint monitoring activities to quality assure teaching and learning judgements</w:t>
      </w:r>
    </w:p>
    <w:p w14:paraId="791C95BD"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Pastoral support for Headteachers including a weekend duty phone number</w:t>
      </w:r>
    </w:p>
    <w:p w14:paraId="58A965ED"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lastRenderedPageBreak/>
        <w:t>Support with preparation for Ofsted and SIAMS visits and collation of self-evaluation documentation</w:t>
      </w:r>
    </w:p>
    <w:p w14:paraId="75B80F15"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Onsite support on the days of inspections</w:t>
      </w:r>
    </w:p>
    <w:p w14:paraId="31279E9A"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Headteacher support and networking through regular virtual huddles and in person Headteacher days</w:t>
      </w:r>
    </w:p>
    <w:p w14:paraId="57FC4B17"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Induction programme for new Headteachers and deputy Headteachers</w:t>
      </w:r>
    </w:p>
    <w:p w14:paraId="04D9A6B2"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Termly leadership development and networking opportunities through subject and aspect specific forums led by expert practitioners for example SEND, EYFS, English, Maths, Pupil Premium</w:t>
      </w:r>
    </w:p>
    <w:p w14:paraId="2CDCBF60"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Moderation across the Trust for all year groups</w:t>
      </w:r>
    </w:p>
    <w:p w14:paraId="2BA68F02"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Access to a Pupil Premium champion who provides support for the progress of disadvantaged pupils</w:t>
      </w:r>
    </w:p>
    <w:p w14:paraId="2FC8FDFE"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 xml:space="preserve">Support with writing and monitoring the impact of focussed Pupil Premium work </w:t>
      </w:r>
    </w:p>
    <w:p w14:paraId="4CC4D0F0"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Headteacher performance management</w:t>
      </w:r>
    </w:p>
    <w:p w14:paraId="359074F5"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Peer reviews and joint work scrutiny to support key aspects of school effectiveness work</w:t>
      </w:r>
    </w:p>
    <w:p w14:paraId="01E3B8D1" w14:textId="77777777" w:rsidR="00BB7922" w:rsidRPr="007D416D" w:rsidRDefault="00BB7922" w:rsidP="00BB7922">
      <w:pPr>
        <w:pStyle w:val="ListParagraph"/>
        <w:numPr>
          <w:ilvl w:val="0"/>
          <w:numId w:val="2"/>
        </w:numPr>
        <w:autoSpaceDE w:val="0"/>
        <w:autoSpaceDN w:val="0"/>
        <w:adjustRightInd w:val="0"/>
        <w:ind w:left="1134"/>
        <w:contextualSpacing w:val="0"/>
        <w:jc w:val="both"/>
        <w:rPr>
          <w:rFonts w:ascii="Aptos" w:hAnsi="Aptos" w:cs="GillSans-Light"/>
          <w:color w:val="000000"/>
        </w:rPr>
      </w:pPr>
      <w:r w:rsidRPr="007D416D">
        <w:rPr>
          <w:rFonts w:ascii="Aptos" w:hAnsi="Aptos" w:cs="GillSans-Light"/>
          <w:color w:val="000000"/>
        </w:rPr>
        <w:t>Support in evaluating the impact of work in developing outstanding practice, including production of template documentation and written reports for Headteachers and governors</w:t>
      </w:r>
    </w:p>
    <w:p w14:paraId="1835ED4A" w14:textId="77777777" w:rsidR="00BB7922" w:rsidRPr="007D416D" w:rsidRDefault="00BB7922" w:rsidP="00BB7922">
      <w:pPr>
        <w:pStyle w:val="ListParagraph"/>
        <w:numPr>
          <w:ilvl w:val="0"/>
          <w:numId w:val="2"/>
        </w:numPr>
        <w:autoSpaceDE w:val="0"/>
        <w:autoSpaceDN w:val="0"/>
        <w:adjustRightInd w:val="0"/>
        <w:ind w:left="1134"/>
        <w:contextualSpacing w:val="0"/>
        <w:jc w:val="both"/>
        <w:rPr>
          <w:rFonts w:ascii="Aptos" w:hAnsi="Aptos" w:cs="GillSans-Light"/>
          <w:color w:val="000000"/>
        </w:rPr>
      </w:pPr>
      <w:r w:rsidRPr="007D416D">
        <w:rPr>
          <w:rFonts w:ascii="Aptos" w:hAnsi="Aptos" w:cs="GillSans-Light"/>
          <w:color w:val="000000"/>
        </w:rPr>
        <w:t>Provision of statutory policies including safeguarding</w:t>
      </w:r>
    </w:p>
    <w:p w14:paraId="67DCEEAC" w14:textId="77777777" w:rsidR="00BB7922" w:rsidRPr="007D416D" w:rsidRDefault="00BB7922" w:rsidP="00BB7922">
      <w:pPr>
        <w:pStyle w:val="ListParagraph"/>
        <w:numPr>
          <w:ilvl w:val="0"/>
          <w:numId w:val="2"/>
        </w:numPr>
        <w:autoSpaceDE w:val="0"/>
        <w:autoSpaceDN w:val="0"/>
        <w:adjustRightInd w:val="0"/>
        <w:ind w:left="1134"/>
        <w:contextualSpacing w:val="0"/>
        <w:jc w:val="both"/>
        <w:rPr>
          <w:rFonts w:ascii="Aptos" w:hAnsi="Aptos" w:cs="GillSans-Light"/>
          <w:color w:val="000000"/>
        </w:rPr>
      </w:pPr>
      <w:r w:rsidRPr="007D416D">
        <w:rPr>
          <w:rFonts w:ascii="Aptos" w:hAnsi="Aptos" w:cs="GillSans-Light"/>
          <w:color w:val="000000"/>
        </w:rPr>
        <w:t>Access to a wide range of documents and resources to support leaders in all aspects of their role</w:t>
      </w:r>
    </w:p>
    <w:p w14:paraId="21BD3592"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Support, training and continued professional development and learning opportunities for all staff</w:t>
      </w:r>
    </w:p>
    <w:p w14:paraId="72BCE9E4" w14:textId="77777777" w:rsidR="00BB7922" w:rsidRDefault="00BB7922" w:rsidP="00BB7922">
      <w:pPr>
        <w:pStyle w:val="ListParagraph"/>
        <w:numPr>
          <w:ilvl w:val="0"/>
          <w:numId w:val="2"/>
        </w:numPr>
        <w:ind w:left="1134"/>
        <w:contextualSpacing w:val="0"/>
        <w:jc w:val="both"/>
        <w:rPr>
          <w:rFonts w:ascii="Aptos" w:hAnsi="Aptos"/>
        </w:rPr>
      </w:pPr>
      <w:r w:rsidRPr="007D416D">
        <w:rPr>
          <w:rFonts w:ascii="Aptos" w:hAnsi="Aptos"/>
        </w:rPr>
        <w:t>Pupil tracking software (Sonar), training, support and data migration</w:t>
      </w:r>
    </w:p>
    <w:p w14:paraId="5465D773" w14:textId="77777777" w:rsidR="00BB7922" w:rsidRPr="007D416D" w:rsidRDefault="00BB7922" w:rsidP="00BB7922">
      <w:pPr>
        <w:pStyle w:val="ListParagraph"/>
        <w:numPr>
          <w:ilvl w:val="0"/>
          <w:numId w:val="2"/>
        </w:numPr>
        <w:ind w:left="1134"/>
        <w:contextualSpacing w:val="0"/>
        <w:jc w:val="both"/>
        <w:rPr>
          <w:rFonts w:ascii="Aptos" w:hAnsi="Aptos"/>
        </w:rPr>
      </w:pPr>
      <w:r>
        <w:rPr>
          <w:rFonts w:ascii="Aptos" w:hAnsi="Aptos"/>
        </w:rPr>
        <w:t>Provision of PiXL, which is a leadership tool to support staff teams to identify and close and gaps in learning.</w:t>
      </w:r>
      <w:r w:rsidRPr="007D416D">
        <w:rPr>
          <w:rFonts w:ascii="Aptos" w:hAnsi="Aptos"/>
        </w:rPr>
        <w:t xml:space="preserve"> </w:t>
      </w:r>
    </w:p>
    <w:p w14:paraId="620727EC"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Subscription to School Bus and The Confederation of School Trusts</w:t>
      </w:r>
    </w:p>
    <w:p w14:paraId="47937E12" w14:textId="77777777" w:rsidR="00BB7922" w:rsidRPr="007D416D" w:rsidRDefault="00BB7922" w:rsidP="00BB7922">
      <w:pPr>
        <w:pStyle w:val="ListParagraph"/>
        <w:numPr>
          <w:ilvl w:val="0"/>
          <w:numId w:val="2"/>
        </w:numPr>
        <w:ind w:left="1134"/>
        <w:jc w:val="both"/>
        <w:rPr>
          <w:rFonts w:ascii="Aptos" w:hAnsi="Aptos"/>
        </w:rPr>
      </w:pPr>
      <w:r w:rsidRPr="007D416D">
        <w:rPr>
          <w:rFonts w:ascii="Aptos" w:hAnsi="Aptos"/>
        </w:rPr>
        <w:t xml:space="preserve">An annual Trust wide INSET day </w:t>
      </w:r>
    </w:p>
    <w:p w14:paraId="0058639E" w14:textId="77777777" w:rsidR="00BB7922" w:rsidRPr="007D416D" w:rsidRDefault="00BB7922" w:rsidP="00BB7922">
      <w:pPr>
        <w:pStyle w:val="ListParagraph"/>
        <w:numPr>
          <w:ilvl w:val="0"/>
          <w:numId w:val="2"/>
        </w:numPr>
        <w:ind w:left="1134"/>
        <w:contextualSpacing w:val="0"/>
        <w:jc w:val="both"/>
        <w:rPr>
          <w:rFonts w:ascii="Aptos" w:hAnsi="Aptos"/>
        </w:rPr>
      </w:pPr>
      <w:r w:rsidRPr="007D416D">
        <w:rPr>
          <w:rFonts w:ascii="Aptos" w:hAnsi="Aptos"/>
        </w:rPr>
        <w:t>General advice and support in terms of school leadership and decision making.</w:t>
      </w:r>
    </w:p>
    <w:p w14:paraId="59F2472A" w14:textId="77777777" w:rsidR="00BB7922" w:rsidRPr="007D416D" w:rsidRDefault="00BB7922" w:rsidP="00BB7922">
      <w:pPr>
        <w:pStyle w:val="ListParagraph"/>
        <w:numPr>
          <w:ilvl w:val="0"/>
          <w:numId w:val="2"/>
        </w:numPr>
        <w:ind w:left="1134"/>
        <w:jc w:val="both"/>
        <w:rPr>
          <w:rFonts w:ascii="Aptos" w:hAnsi="Aptos"/>
        </w:rPr>
      </w:pPr>
      <w:r w:rsidRPr="007D416D">
        <w:rPr>
          <w:rFonts w:ascii="Aptos" w:hAnsi="Aptos"/>
        </w:rPr>
        <w:t>A weekly communication (the Herald) which distils DfE, LA and Trust communication in one easy to read place</w:t>
      </w:r>
    </w:p>
    <w:p w14:paraId="3EA0FAE3" w14:textId="77777777" w:rsidR="00BB7922" w:rsidRDefault="00BB7922" w:rsidP="00BB7922">
      <w:pPr>
        <w:pStyle w:val="ListParagraph"/>
        <w:numPr>
          <w:ilvl w:val="0"/>
          <w:numId w:val="2"/>
        </w:numPr>
        <w:ind w:left="1134"/>
        <w:jc w:val="both"/>
        <w:rPr>
          <w:rFonts w:ascii="Aptos" w:hAnsi="Aptos"/>
        </w:rPr>
      </w:pPr>
      <w:r w:rsidRPr="007D416D">
        <w:rPr>
          <w:rFonts w:ascii="Aptos" w:hAnsi="Aptos"/>
        </w:rPr>
        <w:t>A range of documents to save leaders time in monitoring and evaluating provision</w:t>
      </w:r>
    </w:p>
    <w:p w14:paraId="40C5BC84" w14:textId="77777777" w:rsidR="00BB7922" w:rsidRPr="007D416D" w:rsidRDefault="00BB7922" w:rsidP="00BB7922">
      <w:pPr>
        <w:jc w:val="both"/>
        <w:rPr>
          <w:rFonts w:ascii="Aptos" w:hAnsi="Aptos"/>
        </w:rPr>
      </w:pPr>
    </w:p>
    <w:p w14:paraId="7CDDFCED" w14:textId="77777777" w:rsidR="00BB7922" w:rsidRPr="007D416D" w:rsidRDefault="00BB7922" w:rsidP="00BB7922">
      <w:pPr>
        <w:pStyle w:val="ListParagraph"/>
        <w:numPr>
          <w:ilvl w:val="0"/>
          <w:numId w:val="1"/>
        </w:numPr>
        <w:spacing w:after="120"/>
        <w:jc w:val="both"/>
        <w:rPr>
          <w:rFonts w:ascii="Aptos" w:hAnsi="Aptos"/>
        </w:rPr>
      </w:pPr>
      <w:r w:rsidRPr="007D416D">
        <w:rPr>
          <w:rFonts w:ascii="Aptos" w:hAnsi="Aptos"/>
        </w:rPr>
        <w:t>Safeguarding</w:t>
      </w:r>
    </w:p>
    <w:p w14:paraId="6B3CFC4B" w14:textId="77777777" w:rsidR="00BB7922" w:rsidRPr="007D416D" w:rsidRDefault="00BB7922" w:rsidP="00BB7922">
      <w:pPr>
        <w:pStyle w:val="ListParagraph"/>
        <w:numPr>
          <w:ilvl w:val="0"/>
          <w:numId w:val="3"/>
        </w:numPr>
        <w:ind w:left="1134" w:hanging="414"/>
        <w:jc w:val="both"/>
        <w:rPr>
          <w:rFonts w:ascii="Aptos" w:hAnsi="Aptos"/>
        </w:rPr>
      </w:pPr>
      <w:r w:rsidRPr="007D416D">
        <w:rPr>
          <w:rFonts w:ascii="Aptos" w:hAnsi="Aptos"/>
        </w:rPr>
        <w:t>An annual safeguarding audit</w:t>
      </w:r>
    </w:p>
    <w:p w14:paraId="1DA7AE2D"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Support for all safeguarding questions from the Trust safeguarding lead</w:t>
      </w:r>
    </w:p>
    <w:p w14:paraId="44D1C199"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Support with dealing with allegations against staff</w:t>
      </w:r>
    </w:p>
    <w:p w14:paraId="3DFCEED6"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Access to the Trust safeguarding policy which is updated in line with any changes to Keeping Children Safe in Education</w:t>
      </w:r>
    </w:p>
    <w:p w14:paraId="2B6362EE"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Updated training package for all staff across Trust schools</w:t>
      </w:r>
    </w:p>
    <w:p w14:paraId="1ED7207A"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 xml:space="preserve">Update training for DSLs, those responsible for the single central record and safeguarding governors </w:t>
      </w:r>
    </w:p>
    <w:p w14:paraId="3E059DE5"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Guidance in accessing mandatory training for school staff and governors</w:t>
      </w:r>
    </w:p>
    <w:p w14:paraId="78872F28"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lastRenderedPageBreak/>
        <w:t>Advice and guidance on the single central record from the central team</w:t>
      </w:r>
    </w:p>
    <w:p w14:paraId="752910FB"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Annual external audit of the SCR with GCC.</w:t>
      </w:r>
    </w:p>
    <w:p w14:paraId="437D6C56"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Supervision as requested for DSLs.</w:t>
      </w:r>
    </w:p>
    <w:p w14:paraId="3DB20286" w14:textId="77777777" w:rsidR="00BB7922" w:rsidRPr="007D416D" w:rsidRDefault="00BB7922" w:rsidP="00BB7922">
      <w:pPr>
        <w:pStyle w:val="ListParagraph"/>
        <w:numPr>
          <w:ilvl w:val="0"/>
          <w:numId w:val="3"/>
        </w:numPr>
        <w:spacing w:after="120"/>
        <w:ind w:left="1134" w:hanging="414"/>
        <w:jc w:val="both"/>
        <w:rPr>
          <w:rFonts w:ascii="Aptos" w:hAnsi="Aptos"/>
        </w:rPr>
      </w:pPr>
      <w:r w:rsidRPr="007D416D">
        <w:rPr>
          <w:rFonts w:ascii="Aptos" w:hAnsi="Aptos"/>
        </w:rPr>
        <w:t>Safeguarding induction training for all new governors.</w:t>
      </w:r>
    </w:p>
    <w:p w14:paraId="71179C01" w14:textId="77777777" w:rsidR="00BB7922" w:rsidRPr="007D416D" w:rsidRDefault="00BB7922" w:rsidP="00BB7922">
      <w:pPr>
        <w:pStyle w:val="ListParagraph"/>
        <w:spacing w:after="120"/>
        <w:jc w:val="both"/>
        <w:rPr>
          <w:rFonts w:ascii="Aptos" w:hAnsi="Aptos"/>
        </w:rPr>
      </w:pPr>
    </w:p>
    <w:p w14:paraId="31C8BD96" w14:textId="77777777" w:rsidR="00BB7922" w:rsidRPr="007D416D" w:rsidRDefault="00BB7922" w:rsidP="00BB7922">
      <w:pPr>
        <w:pStyle w:val="ListParagraph"/>
        <w:numPr>
          <w:ilvl w:val="0"/>
          <w:numId w:val="1"/>
        </w:numPr>
        <w:spacing w:after="120"/>
        <w:jc w:val="both"/>
        <w:rPr>
          <w:rFonts w:ascii="Aptos" w:hAnsi="Aptos"/>
        </w:rPr>
      </w:pPr>
      <w:r w:rsidRPr="007D416D">
        <w:rPr>
          <w:rFonts w:ascii="Aptos" w:hAnsi="Aptos"/>
        </w:rPr>
        <w:t xml:space="preserve">Governance </w:t>
      </w:r>
    </w:p>
    <w:p w14:paraId="7D1DFAA1"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The oversight of the Trust Board, who take on the legal and statutory responsibilities of the Trust and its schools.</w:t>
      </w:r>
    </w:p>
    <w:p w14:paraId="0224FC36"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Access to central governance lead support and expertise</w:t>
      </w:r>
    </w:p>
    <w:p w14:paraId="5FEC51B2"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Legal advice and support as necessary</w:t>
      </w:r>
    </w:p>
    <w:p w14:paraId="08070EB5"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Support throughout the conversion process</w:t>
      </w:r>
    </w:p>
    <w:p w14:paraId="11CBF599"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Training and support to transition from maintained governance to Trust governance</w:t>
      </w:r>
    </w:p>
    <w:p w14:paraId="589998C4"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HR support for conduct and capability hearings and appeals</w:t>
      </w:r>
    </w:p>
    <w:p w14:paraId="17867B29"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 xml:space="preserve">Processing of appointments for governors (including foundation appointments) </w:t>
      </w:r>
    </w:p>
    <w:p w14:paraId="1D2F9336" w14:textId="77777777" w:rsidR="00BB7922" w:rsidRPr="007D416D" w:rsidRDefault="00BB7922" w:rsidP="00BB7922">
      <w:pPr>
        <w:pStyle w:val="ListParagraph"/>
        <w:numPr>
          <w:ilvl w:val="0"/>
          <w:numId w:val="4"/>
        </w:numPr>
        <w:ind w:left="1134"/>
        <w:jc w:val="both"/>
        <w:rPr>
          <w:rFonts w:ascii="Aptos" w:hAnsi="Aptos"/>
        </w:rPr>
      </w:pPr>
      <w:r w:rsidRPr="007D416D">
        <w:rPr>
          <w:rFonts w:ascii="Aptos" w:hAnsi="Aptos"/>
        </w:rPr>
        <w:t>Membership of The School Bus and The Confederation of School Trusts</w:t>
      </w:r>
    </w:p>
    <w:p w14:paraId="452F44C0"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Chairs of Governors’ group meetings three times a year</w:t>
      </w:r>
    </w:p>
    <w:p w14:paraId="416D5430"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Clerks’ forum meetings three times a year</w:t>
      </w:r>
    </w:p>
    <w:p w14:paraId="1A43987F"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 xml:space="preserve">Advice and support regarding admissions </w:t>
      </w:r>
    </w:p>
    <w:p w14:paraId="2E3DF88F"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 xml:space="preserve">Training opportunities for governors including annual update training for safeguarding, SEND and pupil premium governors </w:t>
      </w:r>
    </w:p>
    <w:p w14:paraId="1A75572D"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The writing of significant change business cases, as required</w:t>
      </w:r>
    </w:p>
    <w:p w14:paraId="229E08EE"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Regular governors’ briefings to ensure governors are kept abreast of policy and legislative developments, for example changes to national funding arrangements</w:t>
      </w:r>
    </w:p>
    <w:p w14:paraId="23C9530D" w14:textId="77777777" w:rsidR="00BB7922" w:rsidRPr="007D416D" w:rsidRDefault="00BB7922" w:rsidP="00BB7922">
      <w:pPr>
        <w:pStyle w:val="ListParagraph"/>
        <w:numPr>
          <w:ilvl w:val="0"/>
          <w:numId w:val="4"/>
        </w:numPr>
        <w:ind w:left="1134"/>
        <w:contextualSpacing w:val="0"/>
        <w:jc w:val="both"/>
        <w:rPr>
          <w:rFonts w:ascii="Aptos" w:hAnsi="Aptos"/>
        </w:rPr>
      </w:pPr>
      <w:r w:rsidRPr="007D416D">
        <w:rPr>
          <w:rFonts w:ascii="Aptos" w:hAnsi="Aptos"/>
        </w:rPr>
        <w:t xml:space="preserve">Central staff attendance at governor meetings </w:t>
      </w:r>
    </w:p>
    <w:p w14:paraId="7D83E339" w14:textId="77777777" w:rsidR="00BB7922" w:rsidRPr="007D416D" w:rsidRDefault="00BB7922" w:rsidP="00BB7922">
      <w:pPr>
        <w:pStyle w:val="ListParagraph"/>
        <w:numPr>
          <w:ilvl w:val="0"/>
          <w:numId w:val="4"/>
        </w:numPr>
        <w:ind w:left="1134"/>
        <w:contextualSpacing w:val="0"/>
        <w:jc w:val="both"/>
        <w:rPr>
          <w:rFonts w:ascii="Aptos" w:hAnsi="Aptos"/>
          <w:b/>
        </w:rPr>
      </w:pPr>
      <w:r w:rsidRPr="007D416D">
        <w:rPr>
          <w:rFonts w:ascii="Aptos" w:hAnsi="Aptos"/>
        </w:rPr>
        <w:t>Policy co-ordination and development</w:t>
      </w:r>
    </w:p>
    <w:p w14:paraId="47B1092D" w14:textId="77777777" w:rsidR="00BB7922" w:rsidRPr="007D416D" w:rsidRDefault="00BB7922" w:rsidP="00BB7922">
      <w:pPr>
        <w:pStyle w:val="ListParagraph"/>
        <w:numPr>
          <w:ilvl w:val="0"/>
          <w:numId w:val="4"/>
        </w:numPr>
        <w:ind w:left="1134"/>
        <w:contextualSpacing w:val="0"/>
        <w:jc w:val="both"/>
        <w:rPr>
          <w:rFonts w:ascii="Aptos" w:hAnsi="Aptos"/>
          <w:b/>
        </w:rPr>
      </w:pPr>
      <w:r w:rsidRPr="007D416D">
        <w:rPr>
          <w:rFonts w:ascii="Aptos" w:hAnsi="Aptos"/>
        </w:rPr>
        <w:t>Support with handling complaints, and conduct and capability issues</w:t>
      </w:r>
    </w:p>
    <w:p w14:paraId="6DB9ECC5" w14:textId="77777777" w:rsidR="00BB7922" w:rsidRPr="007D416D" w:rsidRDefault="00BB7922" w:rsidP="00BB7922">
      <w:pPr>
        <w:pStyle w:val="ListParagraph"/>
        <w:numPr>
          <w:ilvl w:val="0"/>
          <w:numId w:val="4"/>
        </w:numPr>
        <w:ind w:left="1134"/>
        <w:contextualSpacing w:val="0"/>
        <w:jc w:val="both"/>
        <w:rPr>
          <w:rFonts w:ascii="Aptos" w:hAnsi="Aptos"/>
          <w:b/>
        </w:rPr>
      </w:pPr>
      <w:r w:rsidRPr="007D416D">
        <w:rPr>
          <w:rFonts w:ascii="Aptos" w:hAnsi="Aptos"/>
        </w:rPr>
        <w:t>Central clerking support when requested</w:t>
      </w:r>
    </w:p>
    <w:p w14:paraId="10BD3136" w14:textId="77777777" w:rsidR="00BB7922" w:rsidRPr="007D416D" w:rsidRDefault="00BB7922" w:rsidP="00BB7922">
      <w:pPr>
        <w:pStyle w:val="ListParagraph"/>
        <w:ind w:left="1134"/>
        <w:contextualSpacing w:val="0"/>
        <w:jc w:val="both"/>
        <w:rPr>
          <w:rFonts w:ascii="Aptos" w:hAnsi="Aptos"/>
          <w:b/>
        </w:rPr>
      </w:pPr>
    </w:p>
    <w:p w14:paraId="4515B0F8" w14:textId="77777777" w:rsidR="00BB7922" w:rsidRPr="007D416D" w:rsidRDefault="00BB7922" w:rsidP="00BB7922">
      <w:pPr>
        <w:pStyle w:val="ListParagraph"/>
        <w:numPr>
          <w:ilvl w:val="0"/>
          <w:numId w:val="1"/>
        </w:numPr>
        <w:spacing w:after="120"/>
        <w:jc w:val="both"/>
        <w:rPr>
          <w:rFonts w:ascii="Aptos" w:hAnsi="Aptos"/>
        </w:rPr>
      </w:pPr>
      <w:r w:rsidRPr="007D416D">
        <w:rPr>
          <w:rFonts w:ascii="Aptos" w:hAnsi="Aptos"/>
        </w:rPr>
        <w:t xml:space="preserve">Finance </w:t>
      </w:r>
    </w:p>
    <w:p w14:paraId="6C32F774" w14:textId="77777777" w:rsidR="00BB7922" w:rsidRPr="007D416D" w:rsidRDefault="00BB7922" w:rsidP="00BB7922">
      <w:pPr>
        <w:pStyle w:val="ListParagraph"/>
        <w:numPr>
          <w:ilvl w:val="0"/>
          <w:numId w:val="6"/>
        </w:numPr>
        <w:ind w:left="1134"/>
        <w:contextualSpacing w:val="0"/>
        <w:jc w:val="both"/>
        <w:rPr>
          <w:rFonts w:ascii="Aptos" w:hAnsi="Aptos"/>
        </w:rPr>
      </w:pPr>
      <w:r w:rsidRPr="007D416D">
        <w:rPr>
          <w:rFonts w:ascii="Aptos" w:hAnsi="Aptos"/>
        </w:rPr>
        <w:t>Provision of a central finance function</w:t>
      </w:r>
    </w:p>
    <w:p w14:paraId="7A4C036A" w14:textId="77777777" w:rsidR="00BB7922" w:rsidRPr="007D416D" w:rsidRDefault="00BB7922" w:rsidP="00BB7922">
      <w:pPr>
        <w:pStyle w:val="ListParagraph"/>
        <w:numPr>
          <w:ilvl w:val="0"/>
          <w:numId w:val="6"/>
        </w:numPr>
        <w:ind w:left="1134"/>
        <w:contextualSpacing w:val="0"/>
        <w:jc w:val="both"/>
        <w:rPr>
          <w:rFonts w:ascii="Aptos" w:hAnsi="Aptos"/>
        </w:rPr>
      </w:pPr>
      <w:r w:rsidRPr="007D416D">
        <w:rPr>
          <w:rFonts w:ascii="Aptos" w:hAnsi="Aptos"/>
        </w:rPr>
        <w:t>Access to a central finance team via telephone and email</w:t>
      </w:r>
    </w:p>
    <w:p w14:paraId="512BF776" w14:textId="77777777" w:rsidR="00BB7922" w:rsidRPr="007D416D" w:rsidRDefault="00BB7922" w:rsidP="00BB7922">
      <w:pPr>
        <w:pStyle w:val="ListParagraph"/>
        <w:numPr>
          <w:ilvl w:val="0"/>
          <w:numId w:val="6"/>
        </w:numPr>
        <w:ind w:left="1134"/>
        <w:contextualSpacing w:val="0"/>
        <w:jc w:val="both"/>
        <w:rPr>
          <w:rFonts w:ascii="Aptos" w:hAnsi="Aptos"/>
        </w:rPr>
      </w:pPr>
      <w:r w:rsidRPr="007D416D">
        <w:rPr>
          <w:rFonts w:ascii="Aptos" w:hAnsi="Aptos"/>
        </w:rPr>
        <w:t>Statutory ESFA returns completed for each school including</w:t>
      </w:r>
    </w:p>
    <w:p w14:paraId="1EC150BF" w14:textId="77777777" w:rsidR="00BB7922" w:rsidRPr="007D416D" w:rsidRDefault="00BB7922" w:rsidP="00BB7922">
      <w:pPr>
        <w:pStyle w:val="ListParagraph"/>
        <w:numPr>
          <w:ilvl w:val="0"/>
          <w:numId w:val="5"/>
        </w:numPr>
        <w:jc w:val="both"/>
        <w:rPr>
          <w:rFonts w:ascii="Aptos" w:hAnsi="Aptos"/>
        </w:rPr>
      </w:pPr>
      <w:r w:rsidRPr="007D416D">
        <w:rPr>
          <w:rFonts w:ascii="Aptos" w:hAnsi="Aptos"/>
        </w:rPr>
        <w:t>Budget return (BFR, combined budget and 3-year forecast return)</w:t>
      </w:r>
    </w:p>
    <w:p w14:paraId="794371EB" w14:textId="77777777" w:rsidR="00BB7922" w:rsidRPr="007D416D" w:rsidRDefault="00BB7922" w:rsidP="00BB7922">
      <w:pPr>
        <w:pStyle w:val="ListParagraph"/>
        <w:numPr>
          <w:ilvl w:val="0"/>
          <w:numId w:val="5"/>
        </w:numPr>
        <w:contextualSpacing w:val="0"/>
        <w:jc w:val="both"/>
        <w:rPr>
          <w:rFonts w:ascii="Aptos" w:hAnsi="Aptos"/>
        </w:rPr>
      </w:pPr>
      <w:r w:rsidRPr="007D416D">
        <w:rPr>
          <w:rFonts w:ascii="Aptos" w:hAnsi="Aptos"/>
        </w:rPr>
        <w:t>Annual rates reclaim</w:t>
      </w:r>
    </w:p>
    <w:p w14:paraId="2B764FF7" w14:textId="77777777" w:rsidR="00BB7922" w:rsidRPr="007D416D" w:rsidRDefault="00BB7922" w:rsidP="00BB7922">
      <w:pPr>
        <w:pStyle w:val="ListParagraph"/>
        <w:numPr>
          <w:ilvl w:val="0"/>
          <w:numId w:val="5"/>
        </w:numPr>
        <w:jc w:val="both"/>
        <w:rPr>
          <w:rFonts w:ascii="Aptos" w:hAnsi="Aptos"/>
        </w:rPr>
      </w:pPr>
      <w:r w:rsidRPr="007D416D">
        <w:rPr>
          <w:rFonts w:ascii="Aptos" w:hAnsi="Aptos"/>
        </w:rPr>
        <w:t>Annual accounts return (AAR)</w:t>
      </w:r>
    </w:p>
    <w:p w14:paraId="74E6797D"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 xml:space="preserve">Regularity audits (financial and pension audits) including liaising with internal and external auditors </w:t>
      </w:r>
    </w:p>
    <w:p w14:paraId="48CFAA8B"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Internal audit compliance work including liaising with internal audit as required</w:t>
      </w:r>
    </w:p>
    <w:p w14:paraId="61CE7355"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Compliance checks on all financial and business functions</w:t>
      </w:r>
    </w:p>
    <w:p w14:paraId="482B5FBE"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Preparation and filing of annual Statutory Accounts for the Trust</w:t>
      </w:r>
    </w:p>
    <w:p w14:paraId="4304CA06"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Completion and submission of all financial reports required by the DfE</w:t>
      </w:r>
    </w:p>
    <w:p w14:paraId="29C72564"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Management of all month end procedures</w:t>
      </w:r>
    </w:p>
    <w:p w14:paraId="57F245AB"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Completion and submission of VAT returns to HMRC</w:t>
      </w:r>
    </w:p>
    <w:p w14:paraId="046790E2"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lastRenderedPageBreak/>
        <w:t>Completion and submission of Government reporting including gender pay gap, employment numbers etc</w:t>
      </w:r>
    </w:p>
    <w:p w14:paraId="142DE6D3"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Maintenance of the capital asset register</w:t>
      </w:r>
    </w:p>
    <w:p w14:paraId="3FFCF363"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Challenge and support to Headteachers and governing boards regarding establishing long term (3-5 year) financial forecasts</w:t>
      </w:r>
    </w:p>
    <w:p w14:paraId="6611E26C"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Practical support with budget preparation, budget forecasting and management, including monthly budget meetings with the Headteacher</w:t>
      </w:r>
    </w:p>
    <w:p w14:paraId="572831AF"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Preparation of monthly accounts to Headteacher, local governing board and the Trust</w:t>
      </w:r>
    </w:p>
    <w:p w14:paraId="3C06E85B"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Bespoke finance package, including all annual finance software licences and budget setting software</w:t>
      </w:r>
    </w:p>
    <w:p w14:paraId="700CC678"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 xml:space="preserve">Ongoing training and support on all financial software, procedures and reporting </w:t>
      </w:r>
    </w:p>
    <w:p w14:paraId="3526DA83"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 xml:space="preserve">Regular school </w:t>
      </w:r>
      <w:r w:rsidRPr="622E8986">
        <w:rPr>
          <w:rFonts w:ascii="Aptos" w:hAnsi="Aptos"/>
        </w:rPr>
        <w:t>finance administration</w:t>
      </w:r>
      <w:r w:rsidRPr="007D416D">
        <w:rPr>
          <w:rFonts w:ascii="Aptos" w:hAnsi="Aptos"/>
        </w:rPr>
        <w:t xml:space="preserve"> and finance staff forum</w:t>
      </w:r>
    </w:p>
    <w:p w14:paraId="2E99A33D"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 xml:space="preserve">Regular updates and briefings on all financial and business-related matters, including, for example, changes to national pay scales and National Insurance rates </w:t>
      </w:r>
    </w:p>
    <w:p w14:paraId="57183838"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 xml:space="preserve">Administration of the Local Government Pension Scheme and Teachers’ Pension Scheme, including completing annual certificates and audit administration </w:t>
      </w:r>
    </w:p>
    <w:p w14:paraId="5731AD1C"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Administration for all actuarial valuations</w:t>
      </w:r>
    </w:p>
    <w:p w14:paraId="27CAF32D"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 xml:space="preserve">Applications for additional grants and funding, as opportunities arise </w:t>
      </w:r>
    </w:p>
    <w:p w14:paraId="2FDFBD52" w14:textId="77777777" w:rsidR="00BB7922" w:rsidRPr="007D416D" w:rsidRDefault="00BB7922" w:rsidP="00BB7922">
      <w:pPr>
        <w:pStyle w:val="ListParagraph"/>
        <w:numPr>
          <w:ilvl w:val="0"/>
          <w:numId w:val="7"/>
        </w:numPr>
        <w:ind w:left="1134"/>
        <w:contextualSpacing w:val="0"/>
        <w:jc w:val="both"/>
        <w:rPr>
          <w:rFonts w:ascii="Aptos" w:hAnsi="Aptos"/>
        </w:rPr>
      </w:pPr>
      <w:r w:rsidRPr="007D416D">
        <w:rPr>
          <w:rFonts w:ascii="Aptos" w:hAnsi="Aptos"/>
        </w:rPr>
        <w:t>Preparation and submission of the Statement of Recommended Practice (SORP) – charity accounts</w:t>
      </w:r>
    </w:p>
    <w:p w14:paraId="356EC091"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Setting up and maintaining all bank accounts</w:t>
      </w:r>
    </w:p>
    <w:p w14:paraId="74DE42FB" w14:textId="77777777" w:rsidR="00BB7922" w:rsidRPr="007D416D" w:rsidRDefault="00BB7922" w:rsidP="00BB7922">
      <w:pPr>
        <w:pStyle w:val="ListParagraph"/>
        <w:numPr>
          <w:ilvl w:val="0"/>
          <w:numId w:val="7"/>
        </w:numPr>
        <w:ind w:left="1134"/>
        <w:jc w:val="both"/>
        <w:rPr>
          <w:rFonts w:ascii="Aptos" w:hAnsi="Aptos"/>
        </w:rPr>
      </w:pPr>
      <w:r w:rsidRPr="007D416D">
        <w:rPr>
          <w:rFonts w:ascii="Aptos" w:hAnsi="Aptos"/>
        </w:rPr>
        <w:t>Supplier credential checks</w:t>
      </w:r>
    </w:p>
    <w:p w14:paraId="0DBC7BE4" w14:textId="77777777" w:rsidR="00BB7922" w:rsidRPr="007D416D" w:rsidRDefault="00BB7922" w:rsidP="00BB7922">
      <w:pPr>
        <w:pStyle w:val="ListParagraph"/>
        <w:numPr>
          <w:ilvl w:val="0"/>
          <w:numId w:val="7"/>
        </w:numPr>
        <w:spacing w:line="276" w:lineRule="auto"/>
        <w:ind w:left="1134"/>
        <w:rPr>
          <w:rFonts w:ascii="Aptos" w:hAnsi="Aptos"/>
          <w:b/>
        </w:rPr>
      </w:pPr>
      <w:r w:rsidRPr="007D416D">
        <w:rPr>
          <w:rFonts w:ascii="Aptos" w:hAnsi="Aptos"/>
        </w:rPr>
        <w:t>Administration and payment of the apprenticeship levy</w:t>
      </w:r>
    </w:p>
    <w:p w14:paraId="12E9921A" w14:textId="77777777" w:rsidR="00BB7922" w:rsidRPr="007D416D" w:rsidRDefault="00BB7922" w:rsidP="00BB7922">
      <w:pPr>
        <w:spacing w:line="276" w:lineRule="auto"/>
        <w:rPr>
          <w:rFonts w:ascii="Aptos" w:hAnsi="Aptos"/>
          <w:b/>
        </w:rPr>
      </w:pPr>
    </w:p>
    <w:p w14:paraId="2596B2BC" w14:textId="77777777" w:rsidR="00BB7922" w:rsidRPr="007D416D" w:rsidRDefault="00BB7922" w:rsidP="00BB7922">
      <w:pPr>
        <w:pStyle w:val="ListParagraph"/>
        <w:numPr>
          <w:ilvl w:val="0"/>
          <w:numId w:val="1"/>
        </w:numPr>
        <w:spacing w:after="120"/>
        <w:jc w:val="both"/>
        <w:rPr>
          <w:rFonts w:ascii="Aptos" w:hAnsi="Aptos"/>
        </w:rPr>
      </w:pPr>
      <w:r w:rsidRPr="007D416D">
        <w:rPr>
          <w:rFonts w:ascii="Aptos" w:hAnsi="Aptos"/>
        </w:rPr>
        <w:t xml:space="preserve">Estates and </w:t>
      </w:r>
      <w:r>
        <w:rPr>
          <w:rFonts w:ascii="Aptos" w:hAnsi="Aptos"/>
        </w:rPr>
        <w:t>Compliance</w:t>
      </w:r>
    </w:p>
    <w:p w14:paraId="21538E1F"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Audit of the estate and prioritisation of actions through the provision of an online estate dashboard</w:t>
      </w:r>
    </w:p>
    <w:p w14:paraId="1D7FFB1A" w14:textId="77777777" w:rsidR="00BB7922" w:rsidRPr="00B53647" w:rsidRDefault="00BB7922" w:rsidP="00BB7922">
      <w:pPr>
        <w:pStyle w:val="ListParagraph"/>
        <w:numPr>
          <w:ilvl w:val="0"/>
          <w:numId w:val="8"/>
        </w:numPr>
        <w:jc w:val="both"/>
        <w:rPr>
          <w:rFonts w:ascii="Aptos" w:hAnsi="Aptos"/>
        </w:rPr>
      </w:pPr>
      <w:r w:rsidRPr="007D416D">
        <w:rPr>
          <w:rFonts w:ascii="Aptos" w:hAnsi="Aptos" w:cs="GillSans-Light"/>
          <w:color w:val="000000"/>
        </w:rPr>
        <w:t xml:space="preserve">Support in </w:t>
      </w:r>
      <w:r>
        <w:rPr>
          <w:rFonts w:ascii="Aptos" w:hAnsi="Aptos" w:cs="GillSans-Light"/>
          <w:color w:val="000000"/>
        </w:rPr>
        <w:t>project management of</w:t>
      </w:r>
      <w:r w:rsidRPr="007D416D">
        <w:rPr>
          <w:rFonts w:ascii="Aptos" w:hAnsi="Aptos" w:cs="GillSans-Light"/>
          <w:color w:val="000000"/>
        </w:rPr>
        <w:t xml:space="preserve"> estate management and premises development </w:t>
      </w:r>
    </w:p>
    <w:p w14:paraId="51D0E4FE" w14:textId="77777777" w:rsidR="00BB7922" w:rsidRPr="0071231B" w:rsidRDefault="00BB7922" w:rsidP="00BB7922">
      <w:pPr>
        <w:pStyle w:val="ListParagraph"/>
        <w:numPr>
          <w:ilvl w:val="0"/>
          <w:numId w:val="8"/>
        </w:numPr>
        <w:jc w:val="both"/>
        <w:rPr>
          <w:rFonts w:ascii="Aptos" w:hAnsi="Aptos"/>
        </w:rPr>
      </w:pPr>
      <w:r>
        <w:rPr>
          <w:rFonts w:ascii="Aptos" w:hAnsi="Aptos" w:cs="GillSans-Light"/>
          <w:color w:val="000000"/>
        </w:rPr>
        <w:t>Annual estate and health and safety compliance visit</w:t>
      </w:r>
    </w:p>
    <w:p w14:paraId="55EDC83A" w14:textId="77777777" w:rsidR="00BB7922" w:rsidRPr="007D416D" w:rsidRDefault="00BB7922" w:rsidP="00BB7922">
      <w:pPr>
        <w:pStyle w:val="ListParagraph"/>
        <w:numPr>
          <w:ilvl w:val="0"/>
          <w:numId w:val="8"/>
        </w:numPr>
        <w:jc w:val="both"/>
        <w:rPr>
          <w:rFonts w:ascii="Aptos" w:hAnsi="Aptos"/>
        </w:rPr>
      </w:pPr>
      <w:r>
        <w:rPr>
          <w:rFonts w:ascii="Aptos" w:hAnsi="Aptos" w:cs="GillSans-Light"/>
          <w:color w:val="000000"/>
        </w:rPr>
        <w:t>Project management of estate maintenance and improvement works, including during school closure periods</w:t>
      </w:r>
    </w:p>
    <w:p w14:paraId="1E273EC0"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 xml:space="preserve">Negotiation, set-up and liaison for all insurance arrangements, including land and buildings </w:t>
      </w:r>
    </w:p>
    <w:p w14:paraId="629F11E2"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 xml:space="preserve">Tendering, procurement and management of all capital projects </w:t>
      </w:r>
    </w:p>
    <w:p w14:paraId="0B7DE58B" w14:textId="77777777" w:rsidR="00BB7922" w:rsidRDefault="00BB7922" w:rsidP="00BB7922">
      <w:pPr>
        <w:pStyle w:val="ListParagraph"/>
        <w:numPr>
          <w:ilvl w:val="0"/>
          <w:numId w:val="8"/>
        </w:numPr>
        <w:jc w:val="both"/>
        <w:rPr>
          <w:rFonts w:ascii="Aptos" w:hAnsi="Aptos"/>
        </w:rPr>
      </w:pPr>
      <w:r w:rsidRPr="007D416D">
        <w:rPr>
          <w:rFonts w:ascii="Aptos" w:hAnsi="Aptos"/>
        </w:rPr>
        <w:t>Support with health and safety compliance checks including an online compliance dashboard</w:t>
      </w:r>
    </w:p>
    <w:p w14:paraId="77DBC22F" w14:textId="77777777" w:rsidR="00BB7922" w:rsidRPr="007D416D" w:rsidRDefault="00BB7922" w:rsidP="00BB7922">
      <w:pPr>
        <w:pStyle w:val="ListParagraph"/>
        <w:numPr>
          <w:ilvl w:val="0"/>
          <w:numId w:val="8"/>
        </w:numPr>
        <w:jc w:val="both"/>
        <w:rPr>
          <w:rFonts w:ascii="Aptos" w:hAnsi="Aptos"/>
        </w:rPr>
      </w:pPr>
      <w:r>
        <w:rPr>
          <w:rFonts w:ascii="Aptos" w:hAnsi="Aptos"/>
        </w:rPr>
        <w:t xml:space="preserve">Provision of statutory health and safety training </w:t>
      </w:r>
    </w:p>
    <w:p w14:paraId="44B58A39"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Support with emergency planning and implementation</w:t>
      </w:r>
    </w:p>
    <w:p w14:paraId="03847E02"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 xml:space="preserve">Efficiencies through the economies of scale of central procurement of premises compliance servicing </w:t>
      </w:r>
    </w:p>
    <w:p w14:paraId="0CE2C947"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 xml:space="preserve">Trust wide deals brokered for school supplies and services </w:t>
      </w:r>
    </w:p>
    <w:p w14:paraId="73506542"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Centrally arranged and managed contracts</w:t>
      </w:r>
    </w:p>
    <w:p w14:paraId="6E498537" w14:textId="77777777" w:rsidR="00BB7922" w:rsidRDefault="00BB7922" w:rsidP="00BB7922">
      <w:pPr>
        <w:pStyle w:val="ListParagraph"/>
        <w:numPr>
          <w:ilvl w:val="0"/>
          <w:numId w:val="8"/>
        </w:numPr>
        <w:jc w:val="both"/>
        <w:rPr>
          <w:rFonts w:ascii="Aptos" w:hAnsi="Aptos"/>
        </w:rPr>
      </w:pPr>
      <w:r w:rsidRPr="007D416D">
        <w:rPr>
          <w:rFonts w:ascii="Aptos" w:hAnsi="Aptos"/>
        </w:rPr>
        <w:lastRenderedPageBreak/>
        <w:t>Carbon reduction and energy efficiency audit and strategic heat carbonisation plan</w:t>
      </w:r>
    </w:p>
    <w:p w14:paraId="15889315" w14:textId="77777777" w:rsidR="00BB7922" w:rsidRPr="007D416D" w:rsidRDefault="00BB7922" w:rsidP="00BB7922">
      <w:pPr>
        <w:pStyle w:val="ListParagraph"/>
        <w:numPr>
          <w:ilvl w:val="0"/>
          <w:numId w:val="8"/>
        </w:numPr>
        <w:jc w:val="both"/>
        <w:rPr>
          <w:rFonts w:ascii="Aptos" w:hAnsi="Aptos"/>
        </w:rPr>
      </w:pPr>
      <w:r>
        <w:rPr>
          <w:rFonts w:ascii="Aptos" w:hAnsi="Aptos"/>
        </w:rPr>
        <w:t>Support to plan climate action planning</w:t>
      </w:r>
    </w:p>
    <w:p w14:paraId="337F4919"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Streamlined energy and carbon reporting (SECR)</w:t>
      </w:r>
    </w:p>
    <w:p w14:paraId="35240DF6" w14:textId="77777777" w:rsidR="00BB7922" w:rsidRPr="007D416D" w:rsidRDefault="00BB7922" w:rsidP="00BB7922">
      <w:pPr>
        <w:pStyle w:val="ListParagraph"/>
        <w:numPr>
          <w:ilvl w:val="0"/>
          <w:numId w:val="8"/>
        </w:numPr>
        <w:jc w:val="both"/>
        <w:rPr>
          <w:rFonts w:ascii="Aptos" w:hAnsi="Aptos"/>
        </w:rPr>
      </w:pPr>
      <w:r>
        <w:rPr>
          <w:rFonts w:ascii="Aptos" w:hAnsi="Aptos"/>
        </w:rPr>
        <w:t>Provision of Trust Data Protection Officer and administrative support with subject access requests</w:t>
      </w:r>
    </w:p>
    <w:p w14:paraId="433873F4"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 xml:space="preserve">Maintenance of a </w:t>
      </w:r>
      <w:r>
        <w:rPr>
          <w:rFonts w:ascii="Aptos" w:hAnsi="Aptos"/>
        </w:rPr>
        <w:t>Trust</w:t>
      </w:r>
      <w:r w:rsidRPr="007D416D">
        <w:rPr>
          <w:rFonts w:ascii="Aptos" w:hAnsi="Aptos"/>
        </w:rPr>
        <w:t xml:space="preserve"> risk register</w:t>
      </w:r>
      <w:r>
        <w:rPr>
          <w:rFonts w:ascii="Aptos" w:hAnsi="Aptos"/>
        </w:rPr>
        <w:t xml:space="preserve"> and support with school-based risk registers and risk assessment </w:t>
      </w:r>
    </w:p>
    <w:p w14:paraId="67C52C75"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Oversight of all leases and contracts</w:t>
      </w:r>
    </w:p>
    <w:p w14:paraId="12477606"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Oversight of insurance (RPA) and management of claims</w:t>
      </w:r>
    </w:p>
    <w:p w14:paraId="5A877EC6"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Support in the event of an emergency on site</w:t>
      </w:r>
    </w:p>
    <w:p w14:paraId="1B174D6B" w14:textId="77777777" w:rsidR="00BB7922" w:rsidRPr="007D416D" w:rsidRDefault="00BB7922" w:rsidP="00BB7922">
      <w:pPr>
        <w:pStyle w:val="ListParagraph"/>
        <w:numPr>
          <w:ilvl w:val="0"/>
          <w:numId w:val="8"/>
        </w:numPr>
        <w:jc w:val="both"/>
        <w:rPr>
          <w:rFonts w:ascii="Aptos" w:hAnsi="Aptos"/>
        </w:rPr>
      </w:pPr>
      <w:r w:rsidRPr="007D416D">
        <w:rPr>
          <w:rFonts w:ascii="Aptos" w:hAnsi="Aptos"/>
        </w:rPr>
        <w:t>Submission of the Land and Buildings Return</w:t>
      </w:r>
    </w:p>
    <w:p w14:paraId="6801D364" w14:textId="77777777" w:rsidR="00BB7922" w:rsidRPr="007D416D" w:rsidRDefault="00BB7922" w:rsidP="00BB7922">
      <w:pPr>
        <w:pStyle w:val="ListParagraph"/>
        <w:ind w:left="714"/>
        <w:contextualSpacing w:val="0"/>
        <w:jc w:val="both"/>
        <w:rPr>
          <w:rFonts w:ascii="Aptos" w:hAnsi="Aptos"/>
        </w:rPr>
      </w:pPr>
    </w:p>
    <w:p w14:paraId="29179525" w14:textId="77777777" w:rsidR="00BB7922" w:rsidRPr="007D416D" w:rsidRDefault="00BB7922" w:rsidP="00BB7922">
      <w:pPr>
        <w:pStyle w:val="ListParagraph"/>
        <w:numPr>
          <w:ilvl w:val="0"/>
          <w:numId w:val="1"/>
        </w:numPr>
        <w:jc w:val="both"/>
        <w:rPr>
          <w:rFonts w:ascii="Aptos" w:hAnsi="Aptos"/>
        </w:rPr>
      </w:pPr>
      <w:r w:rsidRPr="007D416D">
        <w:rPr>
          <w:rFonts w:ascii="Aptos" w:hAnsi="Aptos"/>
        </w:rPr>
        <w:t>Human Resources and Legal</w:t>
      </w:r>
    </w:p>
    <w:p w14:paraId="08C182EA" w14:textId="77777777" w:rsidR="00BB7922" w:rsidRPr="007D416D" w:rsidRDefault="00BB7922" w:rsidP="00BB7922">
      <w:pPr>
        <w:pStyle w:val="ListParagraph"/>
        <w:numPr>
          <w:ilvl w:val="0"/>
          <w:numId w:val="9"/>
        </w:numPr>
        <w:spacing w:after="100" w:afterAutospacing="1"/>
        <w:ind w:left="1134"/>
        <w:contextualSpacing w:val="0"/>
        <w:jc w:val="both"/>
        <w:rPr>
          <w:rFonts w:ascii="Aptos" w:hAnsi="Aptos"/>
        </w:rPr>
      </w:pPr>
      <w:r w:rsidRPr="007D416D">
        <w:rPr>
          <w:rFonts w:ascii="Aptos" w:hAnsi="Aptos"/>
        </w:rPr>
        <w:t>Conversion support, including TUPE consultation, the preparation of the Commercial Transfer Agreement, Land Transfer Agreements and Funding Agreement</w:t>
      </w:r>
    </w:p>
    <w:p w14:paraId="02C7EFA7" w14:textId="77777777" w:rsidR="00BB7922" w:rsidRDefault="00BB7922" w:rsidP="00BB7922">
      <w:pPr>
        <w:pStyle w:val="ListParagraph"/>
        <w:numPr>
          <w:ilvl w:val="0"/>
          <w:numId w:val="9"/>
        </w:numPr>
        <w:spacing w:after="100" w:afterAutospacing="1"/>
        <w:ind w:left="1134"/>
        <w:contextualSpacing w:val="0"/>
        <w:jc w:val="both"/>
        <w:rPr>
          <w:rFonts w:ascii="Aptos" w:hAnsi="Aptos"/>
        </w:rPr>
      </w:pPr>
      <w:r w:rsidRPr="007D416D">
        <w:rPr>
          <w:rFonts w:ascii="Aptos" w:hAnsi="Aptos"/>
        </w:rPr>
        <w:t xml:space="preserve">Provision of </w:t>
      </w:r>
      <w:r>
        <w:rPr>
          <w:rFonts w:ascii="Aptos" w:hAnsi="Aptos"/>
        </w:rPr>
        <w:t>an up-to-date suite of T</w:t>
      </w:r>
      <w:r w:rsidRPr="007D416D">
        <w:rPr>
          <w:rFonts w:ascii="Aptos" w:hAnsi="Aptos"/>
        </w:rPr>
        <w:t>rust-wide HR policies and procedures</w:t>
      </w:r>
    </w:p>
    <w:p w14:paraId="4B418653" w14:textId="77777777" w:rsidR="00BB7922" w:rsidRPr="00AC56D0" w:rsidRDefault="00BB7922" w:rsidP="00BB7922">
      <w:pPr>
        <w:pStyle w:val="ListParagraph"/>
        <w:numPr>
          <w:ilvl w:val="0"/>
          <w:numId w:val="9"/>
        </w:numPr>
        <w:spacing w:after="100" w:afterAutospacing="1"/>
        <w:ind w:left="1134"/>
        <w:contextualSpacing w:val="0"/>
        <w:jc w:val="both"/>
        <w:rPr>
          <w:rFonts w:ascii="Aptos" w:hAnsi="Aptos"/>
        </w:rPr>
      </w:pPr>
      <w:r>
        <w:rPr>
          <w:rFonts w:ascii="Aptos" w:hAnsi="Aptos"/>
        </w:rPr>
        <w:t>Templates and guidance documents</w:t>
      </w:r>
    </w:p>
    <w:p w14:paraId="2BCB01E3" w14:textId="77777777" w:rsidR="00BB7922" w:rsidRPr="007D416D" w:rsidRDefault="00BB7922" w:rsidP="00BB7922">
      <w:pPr>
        <w:pStyle w:val="ListParagraph"/>
        <w:numPr>
          <w:ilvl w:val="0"/>
          <w:numId w:val="9"/>
        </w:numPr>
        <w:spacing w:after="100" w:afterAutospacing="1"/>
        <w:ind w:left="1134"/>
        <w:contextualSpacing w:val="0"/>
        <w:jc w:val="both"/>
        <w:rPr>
          <w:rFonts w:ascii="Aptos" w:hAnsi="Aptos"/>
        </w:rPr>
      </w:pPr>
      <w:r w:rsidRPr="007D416D">
        <w:rPr>
          <w:rFonts w:ascii="Aptos" w:hAnsi="Aptos"/>
        </w:rPr>
        <w:t>Union negotiation</w:t>
      </w:r>
    </w:p>
    <w:p w14:paraId="261422E1"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Employee assistance programme for all staff</w:t>
      </w:r>
    </w:p>
    <w:p w14:paraId="6D8ADB2A" w14:textId="77777777" w:rsidR="00BB7922" w:rsidRDefault="00BB7922" w:rsidP="00BB7922">
      <w:pPr>
        <w:pStyle w:val="ListParagraph"/>
        <w:numPr>
          <w:ilvl w:val="0"/>
          <w:numId w:val="9"/>
        </w:numPr>
        <w:spacing w:after="240"/>
        <w:ind w:left="1134"/>
        <w:jc w:val="both"/>
        <w:rPr>
          <w:rFonts w:ascii="Aptos" w:hAnsi="Aptos"/>
        </w:rPr>
      </w:pPr>
      <w:r w:rsidRPr="007D416D">
        <w:rPr>
          <w:rFonts w:ascii="Aptos" w:hAnsi="Aptos"/>
        </w:rPr>
        <w:t>HR support</w:t>
      </w:r>
      <w:r>
        <w:rPr>
          <w:rFonts w:ascii="Aptos" w:hAnsi="Aptos"/>
        </w:rPr>
        <w:t xml:space="preserve"> for all HR case work</w:t>
      </w:r>
    </w:p>
    <w:p w14:paraId="0306DAC4" w14:textId="77777777" w:rsidR="00BB7922" w:rsidRDefault="00BB7922" w:rsidP="00BB7922">
      <w:pPr>
        <w:pStyle w:val="ListParagraph"/>
        <w:numPr>
          <w:ilvl w:val="0"/>
          <w:numId w:val="9"/>
        </w:numPr>
        <w:spacing w:after="240"/>
        <w:ind w:left="1134"/>
        <w:jc w:val="both"/>
        <w:rPr>
          <w:rFonts w:ascii="Aptos" w:hAnsi="Aptos"/>
        </w:rPr>
      </w:pPr>
      <w:r>
        <w:rPr>
          <w:rFonts w:ascii="Aptos" w:hAnsi="Aptos"/>
        </w:rPr>
        <w:t>Liaison with lead external HR advisors for complex HR cases and support through the process</w:t>
      </w:r>
    </w:p>
    <w:p w14:paraId="39033219" w14:textId="77777777" w:rsidR="00BB7922" w:rsidRDefault="00BB7922" w:rsidP="00BB7922">
      <w:pPr>
        <w:pStyle w:val="ListParagraph"/>
        <w:numPr>
          <w:ilvl w:val="0"/>
          <w:numId w:val="9"/>
        </w:numPr>
        <w:spacing w:after="240"/>
        <w:ind w:left="1134"/>
        <w:jc w:val="both"/>
        <w:rPr>
          <w:rFonts w:ascii="Aptos" w:hAnsi="Aptos"/>
        </w:rPr>
      </w:pPr>
      <w:r>
        <w:rPr>
          <w:rFonts w:ascii="Aptos" w:hAnsi="Aptos"/>
        </w:rPr>
        <w:t>Recruitment administration support</w:t>
      </w:r>
    </w:p>
    <w:p w14:paraId="4AA5B8F5" w14:textId="77777777" w:rsidR="00BB7922" w:rsidRPr="007D416D" w:rsidRDefault="00BB7922" w:rsidP="00BB7922">
      <w:pPr>
        <w:pStyle w:val="ListParagraph"/>
        <w:numPr>
          <w:ilvl w:val="0"/>
          <w:numId w:val="9"/>
        </w:numPr>
        <w:spacing w:after="240"/>
        <w:ind w:left="1134"/>
        <w:jc w:val="both"/>
        <w:rPr>
          <w:rFonts w:ascii="Aptos" w:hAnsi="Aptos"/>
        </w:rPr>
      </w:pPr>
      <w:r>
        <w:rPr>
          <w:rFonts w:ascii="Aptos" w:hAnsi="Aptos"/>
        </w:rPr>
        <w:t>Provision of high-quality clerking support for HR panel meetings</w:t>
      </w:r>
    </w:p>
    <w:p w14:paraId="52B5719C"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Occupational health</w:t>
      </w:r>
    </w:p>
    <w:p w14:paraId="15D44903"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DBS online checks and associated costs</w:t>
      </w:r>
    </w:p>
    <w:p w14:paraId="0C01BBAE"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 xml:space="preserve">Recruitment support </w:t>
      </w:r>
    </w:p>
    <w:p w14:paraId="3989AF8B"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Negotiations with the Local Authority, DfE, ESFA and Regional Director, as required</w:t>
      </w:r>
    </w:p>
    <w:p w14:paraId="72203D36"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Data Protection Officer provision-including support with Subject Access and Freedom of Information requests</w:t>
      </w:r>
    </w:p>
    <w:p w14:paraId="59D93907" w14:textId="77777777" w:rsidR="00BB7922" w:rsidRPr="007D416D" w:rsidRDefault="00BB7922" w:rsidP="00BB7922">
      <w:pPr>
        <w:pStyle w:val="ListParagraph"/>
        <w:numPr>
          <w:ilvl w:val="0"/>
          <w:numId w:val="9"/>
        </w:numPr>
        <w:spacing w:after="240"/>
        <w:ind w:left="1134"/>
        <w:jc w:val="both"/>
        <w:rPr>
          <w:rFonts w:ascii="Aptos" w:hAnsi="Aptos"/>
        </w:rPr>
      </w:pPr>
      <w:r w:rsidRPr="007D416D">
        <w:rPr>
          <w:rFonts w:ascii="Aptos" w:hAnsi="Aptos"/>
        </w:rPr>
        <w:t>Secondment opportunities and arrangements</w:t>
      </w:r>
    </w:p>
    <w:p w14:paraId="0ABBC391" w14:textId="77777777" w:rsidR="00CE3B5E" w:rsidRDefault="00CE3B5E"/>
    <w:sectPr w:rsidR="00CE3B5E" w:rsidSect="00BB7922">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91D2" w14:textId="77777777" w:rsidR="00AE682E" w:rsidRDefault="00AE682E" w:rsidP="00BB7922">
      <w:r>
        <w:separator/>
      </w:r>
    </w:p>
  </w:endnote>
  <w:endnote w:type="continuationSeparator" w:id="0">
    <w:p w14:paraId="4F6B380C" w14:textId="77777777" w:rsidR="00AE682E" w:rsidRDefault="00AE682E" w:rsidP="00BB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B452" w14:textId="77777777" w:rsidR="00AE682E" w:rsidRDefault="00AE682E" w:rsidP="00BB7922">
      <w:r>
        <w:separator/>
      </w:r>
    </w:p>
  </w:footnote>
  <w:footnote w:type="continuationSeparator" w:id="0">
    <w:p w14:paraId="1E79862A" w14:textId="77777777" w:rsidR="00AE682E" w:rsidRDefault="00AE682E" w:rsidP="00BB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FE6" w14:textId="61A6EF7E" w:rsidR="00BB7922" w:rsidRDefault="00BB7922" w:rsidP="00BB7922">
    <w:pPr>
      <w:pStyle w:val="Header"/>
      <w:jc w:val="right"/>
    </w:pPr>
    <w:r>
      <w:rPr>
        <w:noProof/>
      </w:rPr>
      <w:drawing>
        <wp:inline distT="0" distB="0" distL="0" distR="0" wp14:anchorId="3909B6DA" wp14:editId="3A40C3DE">
          <wp:extent cx="1859280" cy="1359535"/>
          <wp:effectExtent l="0" t="0" r="7620" b="0"/>
          <wp:docPr id="1905527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1359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754"/>
    <w:multiLevelType w:val="hybridMultilevel"/>
    <w:tmpl w:val="6BFE4C84"/>
    <w:lvl w:ilvl="0" w:tplc="0809000D">
      <w:start w:val="1"/>
      <w:numFmt w:val="bullet"/>
      <w:lvlText w:val=""/>
      <w:lvlJc w:val="left"/>
      <w:pPr>
        <w:ind w:left="1077" w:hanging="360"/>
      </w:pPr>
      <w:rPr>
        <w:rFonts w:ascii="Wingdings" w:hAnsi="Wingding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 w15:restartNumberingAfterBreak="0">
    <w:nsid w:val="1A1F457D"/>
    <w:multiLevelType w:val="hybridMultilevel"/>
    <w:tmpl w:val="573C3262"/>
    <w:lvl w:ilvl="0" w:tplc="AE8CDBA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24451D"/>
    <w:multiLevelType w:val="hybridMultilevel"/>
    <w:tmpl w:val="F836B890"/>
    <w:lvl w:ilvl="0" w:tplc="AE8CDBA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6F2C9E"/>
    <w:multiLevelType w:val="hybridMultilevel"/>
    <w:tmpl w:val="CFA0E564"/>
    <w:lvl w:ilvl="0" w:tplc="AE8CDBA4">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4C379B"/>
    <w:multiLevelType w:val="hybridMultilevel"/>
    <w:tmpl w:val="D6482E04"/>
    <w:lvl w:ilvl="0" w:tplc="AE8CDBA4">
      <w:start w:val="1"/>
      <w:numFmt w:val="bullet"/>
      <w:lvlText w:val="−"/>
      <w:lvlJc w:val="left"/>
      <w:pPr>
        <w:ind w:left="1077" w:hanging="360"/>
      </w:pPr>
      <w:rPr>
        <w:rFonts w:ascii="Calibri" w:hAnsi="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4205014F"/>
    <w:multiLevelType w:val="hybridMultilevel"/>
    <w:tmpl w:val="71E87236"/>
    <w:lvl w:ilvl="0" w:tplc="08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B1C29F7"/>
    <w:multiLevelType w:val="hybridMultilevel"/>
    <w:tmpl w:val="3758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FE3C84"/>
    <w:multiLevelType w:val="hybridMultilevel"/>
    <w:tmpl w:val="B01219A6"/>
    <w:lvl w:ilvl="0" w:tplc="AE8CDBA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F82395"/>
    <w:multiLevelType w:val="hybridMultilevel"/>
    <w:tmpl w:val="9DD6BB56"/>
    <w:lvl w:ilvl="0" w:tplc="AE8CDBA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3C55AC"/>
    <w:multiLevelType w:val="hybridMultilevel"/>
    <w:tmpl w:val="8C7A9F78"/>
    <w:lvl w:ilvl="0" w:tplc="AE8CDBA4">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263040">
    <w:abstractNumId w:val="6"/>
  </w:num>
  <w:num w:numId="2" w16cid:durableId="311182679">
    <w:abstractNumId w:val="8"/>
  </w:num>
  <w:num w:numId="3" w16cid:durableId="1691180144">
    <w:abstractNumId w:val="3"/>
  </w:num>
  <w:num w:numId="4" w16cid:durableId="280917634">
    <w:abstractNumId w:val="2"/>
  </w:num>
  <w:num w:numId="5" w16cid:durableId="926571122">
    <w:abstractNumId w:val="5"/>
  </w:num>
  <w:num w:numId="6" w16cid:durableId="90122811">
    <w:abstractNumId w:val="1"/>
  </w:num>
  <w:num w:numId="7" w16cid:durableId="1632587572">
    <w:abstractNumId w:val="7"/>
  </w:num>
  <w:num w:numId="8" w16cid:durableId="1210918050">
    <w:abstractNumId w:val="4"/>
  </w:num>
  <w:num w:numId="9" w16cid:durableId="420874146">
    <w:abstractNumId w:val="9"/>
  </w:num>
  <w:num w:numId="10" w16cid:durableId="210155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22"/>
    <w:rsid w:val="00001589"/>
    <w:rsid w:val="004E446C"/>
    <w:rsid w:val="00724ECC"/>
    <w:rsid w:val="00AE682E"/>
    <w:rsid w:val="00BB7922"/>
    <w:rsid w:val="00CE3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C0D5D"/>
  <w15:chartTrackingRefBased/>
  <w15:docId w15:val="{52775AB8-E697-425F-8ED8-8DBC0732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22"/>
    <w:pPr>
      <w:spacing w:after="0" w:line="240" w:lineRule="auto"/>
    </w:pPr>
    <w:rPr>
      <w:rFonts w:ascii="Cambria" w:eastAsia="MS Minngs" w:hAnsi="Cambria" w:cs="Times New Roman"/>
      <w:kern w:val="0"/>
      <w:sz w:val="24"/>
      <w:szCs w:val="24"/>
      <w14:ligatures w14:val="none"/>
    </w:rPr>
  </w:style>
  <w:style w:type="paragraph" w:styleId="Heading1">
    <w:name w:val="heading 1"/>
    <w:basedOn w:val="Normal"/>
    <w:next w:val="Normal"/>
    <w:link w:val="Heading1Char"/>
    <w:qFormat/>
    <w:rsid w:val="00BB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9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7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22"/>
    <w:rPr>
      <w:rFonts w:eastAsiaTheme="majorEastAsia" w:cstheme="majorBidi"/>
      <w:color w:val="272727" w:themeColor="text1" w:themeTint="D8"/>
    </w:rPr>
  </w:style>
  <w:style w:type="paragraph" w:styleId="Title">
    <w:name w:val="Title"/>
    <w:basedOn w:val="Normal"/>
    <w:next w:val="Normal"/>
    <w:link w:val="TitleChar"/>
    <w:uiPriority w:val="10"/>
    <w:qFormat/>
    <w:rsid w:val="00BB79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22"/>
    <w:pPr>
      <w:spacing w:before="160"/>
      <w:jc w:val="center"/>
    </w:pPr>
    <w:rPr>
      <w:i/>
      <w:iCs/>
      <w:color w:val="404040" w:themeColor="text1" w:themeTint="BF"/>
    </w:rPr>
  </w:style>
  <w:style w:type="character" w:customStyle="1" w:styleId="QuoteChar">
    <w:name w:val="Quote Char"/>
    <w:basedOn w:val="DefaultParagraphFont"/>
    <w:link w:val="Quote"/>
    <w:uiPriority w:val="29"/>
    <w:rsid w:val="00BB7922"/>
    <w:rPr>
      <w:i/>
      <w:iCs/>
      <w:color w:val="404040" w:themeColor="text1" w:themeTint="BF"/>
    </w:rPr>
  </w:style>
  <w:style w:type="paragraph" w:styleId="ListParagraph">
    <w:name w:val="List Paragraph"/>
    <w:basedOn w:val="Normal"/>
    <w:uiPriority w:val="34"/>
    <w:qFormat/>
    <w:rsid w:val="00BB7922"/>
    <w:pPr>
      <w:ind w:left="720"/>
      <w:contextualSpacing/>
    </w:pPr>
  </w:style>
  <w:style w:type="character" w:styleId="IntenseEmphasis">
    <w:name w:val="Intense Emphasis"/>
    <w:basedOn w:val="DefaultParagraphFont"/>
    <w:uiPriority w:val="21"/>
    <w:qFormat/>
    <w:rsid w:val="00BB7922"/>
    <w:rPr>
      <w:i/>
      <w:iCs/>
      <w:color w:val="0F4761" w:themeColor="accent1" w:themeShade="BF"/>
    </w:rPr>
  </w:style>
  <w:style w:type="paragraph" w:styleId="IntenseQuote">
    <w:name w:val="Intense Quote"/>
    <w:basedOn w:val="Normal"/>
    <w:next w:val="Normal"/>
    <w:link w:val="IntenseQuoteChar"/>
    <w:uiPriority w:val="30"/>
    <w:qFormat/>
    <w:rsid w:val="00BB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22"/>
    <w:rPr>
      <w:i/>
      <w:iCs/>
      <w:color w:val="0F4761" w:themeColor="accent1" w:themeShade="BF"/>
    </w:rPr>
  </w:style>
  <w:style w:type="character" w:styleId="IntenseReference">
    <w:name w:val="Intense Reference"/>
    <w:basedOn w:val="DefaultParagraphFont"/>
    <w:uiPriority w:val="32"/>
    <w:qFormat/>
    <w:rsid w:val="00BB7922"/>
    <w:rPr>
      <w:b/>
      <w:bCs/>
      <w:smallCaps/>
      <w:color w:val="0F4761" w:themeColor="accent1" w:themeShade="BF"/>
      <w:spacing w:val="5"/>
    </w:rPr>
  </w:style>
  <w:style w:type="paragraph" w:styleId="NormalWeb">
    <w:name w:val="Normal (Web)"/>
    <w:basedOn w:val="Normal"/>
    <w:uiPriority w:val="99"/>
    <w:unhideWhenUsed/>
    <w:rsid w:val="00BB7922"/>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BB7922"/>
    <w:pPr>
      <w:tabs>
        <w:tab w:val="center" w:pos="4513"/>
        <w:tab w:val="right" w:pos="9026"/>
      </w:tabs>
    </w:pPr>
  </w:style>
  <w:style w:type="character" w:customStyle="1" w:styleId="HeaderChar">
    <w:name w:val="Header Char"/>
    <w:basedOn w:val="DefaultParagraphFont"/>
    <w:link w:val="Header"/>
    <w:uiPriority w:val="99"/>
    <w:rsid w:val="00BB7922"/>
    <w:rPr>
      <w:rFonts w:ascii="Cambria" w:eastAsia="MS Minngs" w:hAnsi="Cambria" w:cs="Times New Roman"/>
      <w:kern w:val="0"/>
      <w:sz w:val="24"/>
      <w:szCs w:val="24"/>
      <w14:ligatures w14:val="none"/>
    </w:rPr>
  </w:style>
  <w:style w:type="paragraph" w:styleId="Footer">
    <w:name w:val="footer"/>
    <w:basedOn w:val="Normal"/>
    <w:link w:val="FooterChar"/>
    <w:uiPriority w:val="99"/>
    <w:unhideWhenUsed/>
    <w:rsid w:val="00BB7922"/>
    <w:pPr>
      <w:tabs>
        <w:tab w:val="center" w:pos="4513"/>
        <w:tab w:val="right" w:pos="9026"/>
      </w:tabs>
    </w:pPr>
  </w:style>
  <w:style w:type="character" w:customStyle="1" w:styleId="FooterChar">
    <w:name w:val="Footer Char"/>
    <w:basedOn w:val="DefaultParagraphFont"/>
    <w:link w:val="Footer"/>
    <w:uiPriority w:val="99"/>
    <w:rsid w:val="00BB7922"/>
    <w:rPr>
      <w:rFonts w:ascii="Cambria" w:eastAsia="MS Minngs"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8895</Characters>
  <Application>Microsoft Office Word</Application>
  <DocSecurity>0</DocSecurity>
  <Lines>206</Lines>
  <Paragraphs>154</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Howie (Central)</dc:creator>
  <cp:keywords/>
  <dc:description/>
  <cp:lastModifiedBy>Rachel Howie (Central)</cp:lastModifiedBy>
  <cp:revision>1</cp:revision>
  <dcterms:created xsi:type="dcterms:W3CDTF">2025-09-05T07:12:00Z</dcterms:created>
  <dcterms:modified xsi:type="dcterms:W3CDTF">2025-09-05T07:20:00Z</dcterms:modified>
</cp:coreProperties>
</file>